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 w:rsidRPr="00D80D5B">
        <w:rPr>
          <w:rFonts w:ascii="Calibri" w:eastAsia="Times New Roman" w:hAnsi="Calibri" w:cs="Times New Roman"/>
          <w:noProof/>
          <w:sz w:val="40"/>
          <w:szCs w:val="40"/>
          <w:lang w:eastAsia="pl-PL"/>
        </w:rPr>
        <w:drawing>
          <wp:inline distT="0" distB="0" distL="0" distR="0" wp14:anchorId="5FD19DAE" wp14:editId="079B0B8F">
            <wp:extent cx="2153920" cy="22158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35" cy="2214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pl-PL"/>
        </w:rPr>
      </w:pPr>
      <w:r w:rsidRPr="00D80D5B">
        <w:rPr>
          <w:rFonts w:ascii="Calibri" w:eastAsia="Times New Roman" w:hAnsi="Calibri" w:cs="Times New Roman"/>
          <w:b/>
          <w:sz w:val="40"/>
          <w:szCs w:val="40"/>
          <w:lang w:eastAsia="pl-PL"/>
        </w:rPr>
        <w:t>SPRAWOZDANIE Z DZIAŁALNOŚCI</w:t>
      </w:r>
      <w:r w:rsidRPr="00D80D5B">
        <w:rPr>
          <w:rFonts w:ascii="Calibri" w:eastAsia="Times New Roman" w:hAnsi="Calibri" w:cs="Times New Roman"/>
          <w:b/>
          <w:sz w:val="40"/>
          <w:szCs w:val="40"/>
          <w:lang w:eastAsia="pl-PL"/>
        </w:rPr>
        <w:br/>
        <w:t xml:space="preserve"> DYDAKTYCZNEJ, WYCHOWAWCZEJ I OPIEKUŃCZEJ </w:t>
      </w:r>
      <w:r w:rsidRPr="00D80D5B">
        <w:rPr>
          <w:rFonts w:ascii="Calibri" w:eastAsia="Times New Roman" w:hAnsi="Calibri" w:cs="Times New Roman"/>
          <w:b/>
          <w:sz w:val="40"/>
          <w:szCs w:val="40"/>
          <w:lang w:eastAsia="pl-PL"/>
        </w:rPr>
        <w:br/>
        <w:t xml:space="preserve">GIMNAZJUM PUBLICZNEGO IM. NOBLISTÓW POLSKICH </w:t>
      </w:r>
      <w:r w:rsidRPr="00D80D5B">
        <w:rPr>
          <w:rFonts w:ascii="Calibri" w:eastAsia="Times New Roman" w:hAnsi="Calibri" w:cs="Times New Roman"/>
          <w:b/>
          <w:sz w:val="40"/>
          <w:szCs w:val="40"/>
          <w:lang w:eastAsia="pl-PL"/>
        </w:rPr>
        <w:br/>
        <w:t xml:space="preserve">W PRZYBIERNOWIE </w:t>
      </w:r>
      <w:r w:rsidRPr="00D80D5B">
        <w:rPr>
          <w:rFonts w:ascii="Calibri" w:eastAsia="Times New Roman" w:hAnsi="Calibri" w:cs="Times New Roman"/>
          <w:b/>
          <w:sz w:val="40"/>
          <w:szCs w:val="40"/>
          <w:lang w:eastAsia="pl-PL"/>
        </w:rPr>
        <w:br/>
        <w:t>ZA ROK SZKOLNY 2015/2016</w:t>
      </w: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</w:p>
    <w:p w:rsidR="00D80D5B" w:rsidRPr="00D80D5B" w:rsidRDefault="00D80D5B" w:rsidP="00D80D5B">
      <w:pPr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Przybiernów, 4 lipca 2016 r.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Do gimnazjum w roku szkolnym 2015/2016 uczęszczało 154 uczniów podzielonych na osiem oddziałów (2 klasy sportowe, 2 terapeutyczne oraz 4 klasy ogólnodostępne). 105 gimnazjalistów korzysta ze zorganizowanego przez Urząd Gminy w Przybiernowie dowozu autokarowego do szkoły, 32 z bezpłatnych obiadów współfinansowanych przez Ośrodek Pomocy Społecznej w Przybiernowie.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Wszyscy uczniowie byli klasyfikowani. Promocję do klasy programowo wyższej uzyskało 106 z nich (w tym dziewięcioro z wyróżnieniem); szkołę ukończyło 43 (w tym sześcioro z wyróżnieniem). Do egzaminu poprawkowego w sierpniu przystąpi 5 uczniów. </w:t>
      </w:r>
      <w:r w:rsidRPr="00D80D5B">
        <w:rPr>
          <w:rFonts w:ascii="Calibri" w:eastAsia="Times New Roman" w:hAnsi="Calibri" w:cs="Times New Roman"/>
          <w:b/>
          <w:sz w:val="24"/>
          <w:szCs w:val="24"/>
          <w:lang w:eastAsia="pl-PL"/>
        </w:rPr>
        <w:t>Średnia ocen</w:t>
      </w: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koniec roku szkolnego wyniosła 3,44, </w:t>
      </w:r>
      <w:r w:rsidRPr="00D80D5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a średnia frekwencja 90,68% </w:t>
      </w: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(kilkoro uczniów miało długoterminowe zwolnienia lekarskie)</w:t>
      </w:r>
      <w:r w:rsidRPr="00D80D5B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W czasie roku szkolnego zrealizowano ponad 1500 godzin zajęć pozalekcyjnych wynikających z art. 42 ust. 2 pkt. 2 (tekst jednolity: Dz. U. z 2014 po. 191), były to koła przedmiotowe, zajęcia wyrównawcze z przedmiotów wiodących, sportowe, rekreacyjne i kulturalne oraz zajęcia przygotowujące uczniów do egzaminu gimnazjalnego. Ponadto chętni uczniowie – w ramach konsultacji – mogli korzystać z wiedzy i umiejętności nauczycieli.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W szkole wdrożono program pracy z uczniem zdolnym, którego efektem są wysokie lokaty w konkursach przedmiotowych i zawodach sportowych. Ponadto, jak każdego roku, przygotowano wiele konkursów o różnej tematyce, których celem było aktywizowanie uczniów oraz wzmacniane ich poczucia własnej wartości i wiary we własne możliwości. Wśród sukcesów, jakie odnieśli, znalazły się: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wynik bardzo dobry w konkursie ogólnopolskim „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Alfik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Humanistyczny” (Nikola Stelmach i Wiktoria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Romanus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),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I miejsce Natalii Walczak w Międzyszkolnym Konkursie Ortograficznym,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I miejsce drużynowo w Międzyszkolnym Konkursie Ortograficznym,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miejsce Julii Janiszewskiej w eliminacjach powiatowych XVIII edycji Ogólnopolskiego Konkursu Plastycznego dla Dzieci i Młodzieży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ph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. „W trosce o nasze bezpieczeństwo”,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miejsce Julii Janiszewskiej w Konkursie Plastycznym „Obywatel to ja” organizowanym przez Fundację Inicjatyw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Społeczno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Gospodarczych KOMES,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miejsce Oliwii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Bartusiak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Mistrzostwach Powiatu w Lekkiej Atletyce (rzut oszczepem)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Zakwalifikowanie się Klaudii Żelechowskiej do finału Konkursu Marszałka Województwa Zachodniopomorskiego Wiedzy o Samorządzie Terytorialnym i Regionie,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II miejsce Renaty Kałuckiej i Jakuba Szczygła w Stepnickiej Mili,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III miejsce Martyny Mazurek i Patryka Kałuckiego w Stepnickiej Mili,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III miejsce drużyny naszego gimnazjum w Półfinale Powiatu Goleniowskiego w piłce nożnej dziewcząt,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III miejsce w Mistrzostwach Powiatu Goleniowskiego w piłce siatkowej dziewcząt,</w:t>
      </w:r>
    </w:p>
    <w:p w:rsidR="00D80D5B" w:rsidRPr="00D80D5B" w:rsidRDefault="00D80D5B" w:rsidP="00D80D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III miejsce w Sztafetowych biegach przełajowych w Mistrzostwach Powiatu Goleniowskiego.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Oprócz działalności dydaktycznej w szkole prowadzono szereg działań </w:t>
      </w:r>
      <w:r w:rsidRPr="00D80D5B">
        <w:rPr>
          <w:rFonts w:ascii="Calibri" w:eastAsia="Times New Roman" w:hAnsi="Calibri" w:cs="Times New Roman"/>
          <w:b/>
          <w:sz w:val="24"/>
          <w:szCs w:val="24"/>
          <w:lang w:eastAsia="pl-PL"/>
        </w:rPr>
        <w:t>opiekuńczo-wychowawczych</w:t>
      </w: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W tym roku szkolnym nasze gimnazjum kontynuowało program „Bezpieczna szkoła”, w ramach którego zorganizowano zajęcia z przedstawicielami Komendy Powiatowej Policji w Goleniowie, odbyła się lekcja prawa, na której młodzież mogła się dowiedzieć o konsekwencjach niewłaściwego postępowania. 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 raz kolejny braliśmy udział w powiatowym programie prozdrowotnym „Trzymaj formę”. Na X konferencji, która odbyła się w Starostwie Powiatowym w Goleniowie, podsumowującej jego realizację, nasi uczniowie pokazali prezentację sprawozdawczą oraz drugą, poza konkursem,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ph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. „Żyj zdrowo i aktywnie spędzaj czas”, a która powstała w ramach projektu edukacyjnego klas II. Jako jedyna szkoła ubarwiliśmy to wydarzenie pracami plastycznymi naszych uczniów, co wywarło niezatarte wrażenie na przybyłych gościach.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kończącym się roku szkolnym zrealizowano szereg działań w zakresie doradztwa zawodowego. Uczniowie wszystkich klas, oprócz udziału w specjalnych zajęciach w ramach godzin wychowawczych oraz w spotkaniach z przedstawicielami szkół ponadgimnazjalnych, uczestniczyli w warsztatach pomagających określić im swoje mocne i słabe strony, styl uczenia się, typ osobowości i temperamentu a także predyspozycje zawodowe. Zorganizowano również wycieczki, na których uczniowie mogli poznać ofertę szkół ponadgimnazjalnych. Ponadto, wyznaczono terminy konsultacji z doradcą zawodowym, z których skorzystali nie tylko uczniowie, ale także rodzice. We współpracy z Wojewódzkim Urzędem Pracy w Szczecinie przeprowadzono cykl warsztatów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zawodoznawczych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dla uczniów naszego gimnazjum. Do programu włączono klasy pierwsze i drugie. 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Dzięki współpracy z Gminnym Ośrodkiem Pomocy Społecznej w Przybiernowie uzyskaliśmy wsparcie finansowe przy organizacji wycieczek szkolnych.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Uczniowie klas pierwszych wzięli udział w projekcie „Euro 2016”, przygotowywali makiety stadionów, wzory koszulek zagrali „reprezentacyjne” mecze. 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Oprócz imprez i uroczystości wewnątrzszkolnych nasza placówka podjęła działania na rzecz środowiska lokalnego. Od wielu lat nasza szkoła organizuje na terenie Gminy Przybiernów finał Wielkiej Orkiestry Świątecznej Pomocy</w:t>
      </w: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(w</w:t>
      </w: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tym roku przyłączyliśmy się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też </w:t>
      </w: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do akcji charytatywnej „Uwolnij oczy Lenki”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), </w:t>
      </w:r>
      <w:bookmarkStart w:id="0" w:name="_GoBack"/>
      <w:bookmarkEnd w:id="0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wieczornicę z okazji Święta Niepodległości oraz Turniej Niepodległościowy w Piłkę Siatkową, czy Wiosenny Turniej Rodzinny w Piłkę Siatkową. Są to przedsięwzięcia nie tylko promujące szkołę na zewnątrz, ale są działaniami współtworzącymi życie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kulturalno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sportowe na terenie całej gminy. Ponadto, w ramach działalności szkolnego koła teatralnego, przygotowano wieczorek poetycko - muzyczny dla mieszkańców Przybiernowa (spotkanie poświęcone artystom Piwnicy pod Baranami z okazji 60-lecia jej powstania) oraz przedstawienia dla przedszkolaków i uczniów pierwszego etapu edukacyjnego szkół podstawowych Gminy Przybiernów („Królewna Śnieżka”, „Miesiące kupują buty”). Nasi uczniowie brali udział w spotkaniu filmowym „Muzyka jest wszędzie, wystarczy tylko posłuchać”, , całonocnym spotkaniu czytelniczo – filmowym „Poigrajmy z &gt;</w:t>
      </w:r>
      <w:r w:rsidRPr="00D80D5B">
        <w:rPr>
          <w:rFonts w:ascii="Calibri" w:eastAsia="Times New Roman" w:hAnsi="Calibri" w:cs="Times New Roman"/>
          <w:i/>
          <w:sz w:val="24"/>
          <w:szCs w:val="24"/>
          <w:lang w:eastAsia="pl-PL"/>
        </w:rPr>
        <w:t>Igrzyskami&lt;</w:t>
      </w: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”, całodobowym Maratonie Mikołajkowym, Tygodniu Matematycznym, ogólnopolskiej akcji „Jak nie czytam, jak czytam”, „Książki naszych marzeń”, „Dzień głośnego czytania” – promujących naukę myślenia, czytanie, aktywność umysłową.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Wszystkie te działania miały zapewne wpływ na wyniki egzaminu gimnazjalnego, które w roku 2016 wskazują na wzrost umiejętności uczniów we wszystkich zakresach, tj. w części humanistycznej,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matematyczno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przyrodniczej oraz z języków obcych nowożytnych. Uczniowie zdający w bieżącym roku egzamin gimnazjalny uzyskali średni wynik mieszczący ich w staninie 4. („niżej średnim”) z przedmiotów ogólnokształcących i języka niemieckiego oraz 5. („średnim”) z języka angielskiego. Trzy lata temu, po szkole podstawowej, osiągnęli oni średnio 2. („bardzo niski”) stanin. </w:t>
      </w:r>
      <w:r w:rsidRPr="00D80D5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Przemieścili się więc jako grupa w danym roczniku o dwa </w:t>
      </w:r>
      <w:proofErr w:type="spellStart"/>
      <w:r w:rsidRPr="00D80D5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staniny</w:t>
      </w:r>
      <w:proofErr w:type="spellEnd"/>
      <w:r w:rsidRPr="00D80D5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wyżej.</w:t>
      </w:r>
    </w:p>
    <w:p w:rsidR="00D80D5B" w:rsidRPr="00D80D5B" w:rsidRDefault="00D80D5B" w:rsidP="00D80D5B">
      <w:pPr>
        <w:spacing w:after="0" w:line="36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80D5B">
        <w:rPr>
          <w:rFonts w:ascii="Calibri" w:eastAsia="Times New Roman" w:hAnsi="Calibri" w:cs="Times New Roman"/>
          <w:sz w:val="24"/>
          <w:szCs w:val="24"/>
          <w:lang w:eastAsia="pl-PL"/>
        </w:rPr>
        <w:t>Działalność szkoły została dostrzeżona i doceniona przez Wójta Gminy Przybiernów przyznaniem szkole Wyróżnienia „Specjalne Cisy Przybiernowskie”, co miało miejsce podczas gali, która odbyła się w maju 2016 roku.</w:t>
      </w:r>
    </w:p>
    <w:p w:rsidR="00990098" w:rsidRDefault="00D80D5B"/>
    <w:sectPr w:rsidR="00990098" w:rsidSect="00992A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435013"/>
      <w:docPartObj>
        <w:docPartGallery w:val="Page Numbers (Bottom of Page)"/>
        <w:docPartUnique/>
      </w:docPartObj>
    </w:sdtPr>
    <w:sdtEndPr/>
    <w:sdtContent>
      <w:p w:rsidR="00F36DC1" w:rsidRDefault="00D80D5B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36DC1" w:rsidRDefault="00D80D5B">
    <w:pPr>
      <w:pStyle w:val="Stopka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DE6"/>
    <w:multiLevelType w:val="hybridMultilevel"/>
    <w:tmpl w:val="3F9A77CA"/>
    <w:lvl w:ilvl="0" w:tplc="F0E2B26C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5D4093C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5B"/>
    <w:rsid w:val="0062321D"/>
    <w:rsid w:val="00782233"/>
    <w:rsid w:val="007A18E0"/>
    <w:rsid w:val="00D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8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80D5B"/>
  </w:style>
  <w:style w:type="paragraph" w:styleId="Stopka">
    <w:name w:val="footer"/>
    <w:basedOn w:val="Normalny"/>
    <w:link w:val="StopkaZnak1"/>
    <w:uiPriority w:val="99"/>
    <w:semiHidden/>
    <w:unhideWhenUsed/>
    <w:rsid w:val="00D8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0D5B"/>
  </w:style>
  <w:style w:type="paragraph" w:styleId="Tekstdymka">
    <w:name w:val="Balloon Text"/>
    <w:basedOn w:val="Normalny"/>
    <w:link w:val="TekstdymkaZnak"/>
    <w:uiPriority w:val="99"/>
    <w:semiHidden/>
    <w:unhideWhenUsed/>
    <w:rsid w:val="00D8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8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80D5B"/>
  </w:style>
  <w:style w:type="paragraph" w:styleId="Stopka">
    <w:name w:val="footer"/>
    <w:basedOn w:val="Normalny"/>
    <w:link w:val="StopkaZnak1"/>
    <w:uiPriority w:val="99"/>
    <w:semiHidden/>
    <w:unhideWhenUsed/>
    <w:rsid w:val="00D8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0D5B"/>
  </w:style>
  <w:style w:type="paragraph" w:styleId="Tekstdymka">
    <w:name w:val="Balloon Text"/>
    <w:basedOn w:val="Normalny"/>
    <w:link w:val="TekstdymkaZnak"/>
    <w:uiPriority w:val="99"/>
    <w:semiHidden/>
    <w:unhideWhenUsed/>
    <w:rsid w:val="00D8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2016-07-01T11:26:00Z</dcterms:created>
  <dcterms:modified xsi:type="dcterms:W3CDTF">2016-07-01T11:27:00Z</dcterms:modified>
</cp:coreProperties>
</file>